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r>
        <w:rPr>
          <w:rFonts w:hint="eastAsia"/>
          <w:sz w:val="28"/>
          <w:szCs w:val="28"/>
        </w:rPr>
        <w:t>附件：公共选修课学生网上选课操作步骤</w:t>
      </w:r>
    </w:p>
    <w:bookmarkEnd w:id="0"/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1、登录</w:t>
      </w:r>
    </w:p>
    <w:p>
      <w:pPr>
        <w:ind w:firstLine="560" w:firstLineChars="200"/>
        <w:jc w:val="left"/>
        <w:rPr>
          <w:rFonts w:hint="eastAsia"/>
          <w:b/>
          <w:bCs/>
          <w:color w:val="FF0000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学生选课</w:t>
      </w:r>
      <w:r>
        <w:rPr>
          <w:rFonts w:hint="eastAsia"/>
          <w:sz w:val="28"/>
          <w:szCs w:val="28"/>
          <w:lang w:eastAsia="zh-CN"/>
        </w:rPr>
        <w:t>统一在喜鹊儿进行，登录喜鹊儿点击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“全部服务”</w:t>
      </w:r>
      <w:r>
        <w:rPr>
          <w:rFonts w:hint="eastAsia"/>
          <w:sz w:val="28"/>
          <w:szCs w:val="28"/>
          <w:lang w:eastAsia="zh-CN"/>
        </w:rPr>
        <w:t>选择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“正选”</w:t>
      </w:r>
    </w:p>
    <w:p>
      <w:pPr>
        <w:jc w:val="left"/>
        <w:rPr>
          <w:rFonts w:hint="eastAsia"/>
          <w:sz w:val="28"/>
          <w:szCs w:val="28"/>
          <w:lang w:eastAsia="zh-CN"/>
        </w:rPr>
      </w:pPr>
      <w:r>
        <w:drawing>
          <wp:inline distT="0" distB="0" distL="114300" distR="114300">
            <wp:extent cx="5277485" cy="5203825"/>
            <wp:effectExtent l="0" t="0" r="1841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520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操作步骤</w:t>
      </w:r>
    </w:p>
    <w:p>
      <w:pPr>
        <w:numPr>
          <w:ilvl w:val="0"/>
          <w:numId w:val="0"/>
        </w:numPr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① 选择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“课程范围”</w:t>
      </w:r>
      <w:r>
        <w:rPr>
          <w:rFonts w:hint="eastAsia"/>
          <w:sz w:val="28"/>
          <w:szCs w:val="28"/>
          <w:lang w:val="en-US" w:eastAsia="zh-CN"/>
        </w:rPr>
        <w:t>→选择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“主修（公共任选）”</w:t>
      </w:r>
    </w:p>
    <w:p>
      <w:pPr>
        <w:adjustRightInd w:val="0"/>
        <w:snapToGrid w:val="0"/>
        <w:spacing w:line="360" w:lineRule="auto"/>
        <w:ind w:right="-1"/>
        <w:rPr>
          <w:rFonts w:hint="eastAsia"/>
        </w:rPr>
      </w:pPr>
      <w:r>
        <w:drawing>
          <wp:inline distT="0" distB="0" distL="114300" distR="114300">
            <wp:extent cx="5277485" cy="2865120"/>
            <wp:effectExtent l="0" t="0" r="18415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lang w:eastAsia="zh-CN"/>
        </w:rPr>
      </w:pPr>
    </w:p>
    <w:p>
      <w:pPr>
        <w:jc w:val="left"/>
        <w:rPr>
          <w:rFonts w:hint="eastAsia"/>
          <w:lang w:eastAsia="zh-CN"/>
        </w:rPr>
      </w:pPr>
    </w:p>
    <w:p>
      <w:pPr>
        <w:ind w:firstLine="560" w:firstLineChars="200"/>
        <w:jc w:val="left"/>
        <w:rPr>
          <w:rFonts w:hint="eastAsia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③选择你想要的课程</w:t>
      </w:r>
    </w:p>
    <w:p>
      <w:pPr>
        <w:jc w:val="left"/>
        <w:rPr>
          <w:rFonts w:hint="eastAsia"/>
          <w:lang w:eastAsia="zh-CN"/>
        </w:rPr>
      </w:pPr>
      <w:r>
        <w:drawing>
          <wp:inline distT="0" distB="0" distL="114300" distR="114300">
            <wp:extent cx="5153025" cy="51339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jc w:val="left"/>
        <w:rPr>
          <w:rFonts w:hint="eastAsia" w:ascii="Times New Roman" w:hAnsi="Times New Roman" w:eastAsia="宋体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④</w:t>
      </w:r>
      <w:r>
        <w:rPr>
          <w:rFonts w:hint="eastAsia" w:ascii="Times New Roman" w:hAnsi="Times New Roman" w:eastAsia="宋体" w:cs="Times New Roman"/>
          <w:b/>
          <w:bCs/>
          <w:color w:val="FF0000"/>
          <w:sz w:val="28"/>
          <w:szCs w:val="28"/>
          <w:lang w:eastAsia="zh-CN"/>
        </w:rPr>
        <w:t>“提交”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选课结果，并查看</w:t>
      </w:r>
      <w:r>
        <w:rPr>
          <w:rFonts w:hint="eastAsia" w:ascii="Times New Roman" w:hAnsi="Times New Roman" w:eastAsia="宋体" w:cs="Times New Roman"/>
          <w:b/>
          <w:bCs/>
          <w:color w:val="FF0000"/>
          <w:sz w:val="28"/>
          <w:szCs w:val="28"/>
          <w:lang w:eastAsia="zh-CN"/>
        </w:rPr>
        <w:t>“正选结果”</w:t>
      </w:r>
      <w:r>
        <w:rPr>
          <w:rFonts w:hint="eastAsia" w:ascii="Times New Roman" w:hAnsi="Times New Roman" w:eastAsia="宋体" w:cs="Times New Roman"/>
          <w:sz w:val="28"/>
          <w:szCs w:val="28"/>
          <w:lang w:eastAsia="zh-CN"/>
        </w:rPr>
        <w:t>，即完成选课</w:t>
      </w:r>
    </w:p>
    <w:p>
      <w:pPr>
        <w:jc w:val="left"/>
      </w:pPr>
      <w:r>
        <w:drawing>
          <wp:inline distT="0" distB="0" distL="114300" distR="114300">
            <wp:extent cx="5257800" cy="51149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  <w:rPr>
          <w:color w:val="FF0000"/>
          <w:sz w:val="24"/>
        </w:rPr>
      </w:pPr>
    </w:p>
    <w:p>
      <w:pPr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注意：以上文件所含图片</w:t>
      </w:r>
      <w:r>
        <w:rPr>
          <w:color w:val="FF0000"/>
          <w:sz w:val="24"/>
        </w:rPr>
        <w:t>中显示的数据仅做示例</w:t>
      </w:r>
      <w:r>
        <w:rPr>
          <w:rFonts w:hint="eastAsia"/>
          <w:color w:val="FF0000"/>
          <w:sz w:val="24"/>
        </w:rPr>
        <w:t>展示</w:t>
      </w:r>
      <w:r>
        <w:rPr>
          <w:color w:val="FF0000"/>
          <w:sz w:val="24"/>
        </w:rPr>
        <w:t>，具体选课</w:t>
      </w:r>
      <w:r>
        <w:rPr>
          <w:rFonts w:hint="eastAsia"/>
          <w:color w:val="FF0000"/>
          <w:sz w:val="24"/>
        </w:rPr>
        <w:t>课程</w:t>
      </w:r>
      <w:r>
        <w:rPr>
          <w:color w:val="FF0000"/>
          <w:sz w:val="24"/>
        </w:rPr>
        <w:t>详见网页。</w:t>
      </w:r>
    </w:p>
    <w:p>
      <w:pPr>
        <w:spacing w:line="360" w:lineRule="auto"/>
        <w:jc w:val="left"/>
        <w:rPr>
          <w:rFonts w:hint="eastAsia" w:ascii="宋体" w:hAnsi="宋体"/>
          <w:sz w:val="24"/>
        </w:rPr>
      </w:pPr>
    </w:p>
    <w:p/>
    <w:sectPr>
      <w:headerReference r:id="rId3" w:type="default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811B49"/>
    <w:multiLevelType w:val="singleLevel"/>
    <w:tmpl w:val="B0811B4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NzExMDFjYjZhYzhlYzg0MjhjODIyNjM5ZmM5NjEifQ=="/>
  </w:docVars>
  <w:rsids>
    <w:rsidRoot w:val="0B767C17"/>
    <w:rsid w:val="0B76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2023-10-07T08:19:00Z</dcterms:created>
  <dc:creator>jinly爷</dc:creator>
  <cp:lastModifiedBy>jinly爷</cp:lastModifiedBy>
  <dcterms:modified xsi:type="dcterms:W3CDTF">2023-10-07T08:19:29Z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63CC5A356C4149D7BDAD23C5FD2407E5_11</vt:lpwstr>
  </property>
</Properties>
</file>